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B6" w:rsidRPr="00474366" w:rsidRDefault="009634B6" w:rsidP="009634B6">
      <w:pPr>
        <w:spacing w:after="20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74366">
        <w:rPr>
          <w:rFonts w:ascii="Times New Roman" w:hAnsi="Times New Roman" w:cs="Times New Roman"/>
          <w:sz w:val="24"/>
          <w:szCs w:val="24"/>
        </w:rPr>
        <w:t xml:space="preserve">Gráfica 1. Porcentaje de frecuencia de pago </w:t>
      </w:r>
      <w:r w:rsidR="00835040" w:rsidRPr="00474366">
        <w:rPr>
          <w:rFonts w:ascii="Times New Roman" w:hAnsi="Times New Roman" w:cs="Times New Roman"/>
          <w:sz w:val="24"/>
          <w:szCs w:val="24"/>
        </w:rPr>
        <w:t xml:space="preserve">de </w:t>
      </w:r>
      <w:r w:rsidR="00835040">
        <w:rPr>
          <w:rFonts w:ascii="Times New Roman" w:hAnsi="Times New Roman" w:cs="Times New Roman"/>
          <w:sz w:val="24"/>
          <w:szCs w:val="24"/>
        </w:rPr>
        <w:t xml:space="preserve">los </w:t>
      </w:r>
      <w:r w:rsidR="00835040" w:rsidRPr="00474366">
        <w:rPr>
          <w:rFonts w:ascii="Times New Roman" w:hAnsi="Times New Roman" w:cs="Times New Roman"/>
          <w:sz w:val="24"/>
          <w:szCs w:val="24"/>
        </w:rPr>
        <w:t xml:space="preserve">contribuyentes </w:t>
      </w:r>
      <w:r w:rsidRPr="00474366">
        <w:rPr>
          <w:rFonts w:ascii="Times New Roman" w:hAnsi="Times New Roman" w:cs="Times New Roman"/>
          <w:sz w:val="24"/>
          <w:szCs w:val="24"/>
        </w:rPr>
        <w:t>de la muestra, agrupados según la cantidad que cubrían</w:t>
      </w:r>
      <w:r w:rsidR="00835040">
        <w:rPr>
          <w:rFonts w:ascii="Times New Roman" w:hAnsi="Times New Roman" w:cs="Times New Roman"/>
          <w:sz w:val="24"/>
          <w:szCs w:val="24"/>
        </w:rPr>
        <w:t xml:space="preserve"> del impuesto a puertas y ventanas</w:t>
      </w:r>
      <w:r w:rsidRPr="00474366">
        <w:rPr>
          <w:rFonts w:ascii="Times New Roman" w:hAnsi="Times New Roman" w:cs="Times New Roman"/>
          <w:sz w:val="24"/>
          <w:szCs w:val="24"/>
        </w:rPr>
        <w:t>. San Luis Potosí, 1854</w:t>
      </w:r>
      <w:bookmarkStart w:id="0" w:name="_GoBack"/>
      <w:bookmarkEnd w:id="0"/>
    </w:p>
    <w:p w:rsidR="009634B6" w:rsidRPr="00E67FF2" w:rsidRDefault="000C5B82" w:rsidP="000C5B82">
      <w:pPr>
        <w:spacing w:after="200" w:line="276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  <w:lang w:eastAsia="ja-JP"/>
        </w:rPr>
        <w:drawing>
          <wp:inline distT="0" distB="0" distL="0" distR="0" wp14:anchorId="6FD8C10D" wp14:editId="69730103">
            <wp:extent cx="4876800" cy="2009775"/>
            <wp:effectExtent l="0" t="0" r="19050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2B58" w:rsidRPr="009634B6" w:rsidRDefault="009634B6" w:rsidP="00835040">
      <w:p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r w:rsidRPr="002135BA">
        <w:rPr>
          <w:rFonts w:ascii="Times New Roman" w:hAnsi="Times New Roman" w:cs="Times New Roman"/>
          <w:sz w:val="20"/>
          <w:szCs w:val="24"/>
        </w:rPr>
        <w:t xml:space="preserve">Fuente: </w:t>
      </w:r>
      <w:r>
        <w:rPr>
          <w:rFonts w:ascii="Times New Roman" w:hAnsi="Times New Roman" w:cs="Times New Roman"/>
          <w:sz w:val="20"/>
          <w:szCs w:val="24"/>
        </w:rPr>
        <w:t xml:space="preserve">Elaboración propia a partir de: </w:t>
      </w:r>
      <w:r w:rsidRPr="002135BA">
        <w:rPr>
          <w:rFonts w:ascii="Times New Roman" w:hAnsi="Times New Roman" w:cs="Times New Roman"/>
          <w:sz w:val="20"/>
          <w:szCs w:val="24"/>
        </w:rPr>
        <w:t xml:space="preserve">Boletas de la contribución de </w:t>
      </w:r>
      <w:r w:rsidRPr="002135BA">
        <w:rPr>
          <w:rFonts w:ascii="Times New Roman" w:hAnsi="Times New Roman" w:cs="Times New Roman"/>
          <w:i/>
          <w:sz w:val="20"/>
          <w:szCs w:val="24"/>
        </w:rPr>
        <w:t>luces exteriores</w:t>
      </w:r>
      <w:r w:rsidRPr="002135BA">
        <w:rPr>
          <w:rFonts w:ascii="Times New Roman" w:hAnsi="Times New Roman" w:cs="Times New Roman"/>
          <w:sz w:val="20"/>
          <w:szCs w:val="24"/>
        </w:rPr>
        <w:t xml:space="preserve"> de San Luis Potosí. 1854. Fondo Hacienda Pública. Archivo central. Caj. 54, exp. 408, s/ff. AGN; Libro auxiliar de cargo para los asientos de la contribución sobre luces exteriores de San Luis Potosí. 1854. Fondo Contribuciones Directas. Caj. 205, exp. 979.7. AGN.</w:t>
      </w:r>
    </w:p>
    <w:sectPr w:rsidR="00492B58" w:rsidRPr="00963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D1D" w:rsidRDefault="003B7D1D" w:rsidP="0057506D">
      <w:pPr>
        <w:spacing w:after="0" w:line="240" w:lineRule="auto"/>
      </w:pPr>
      <w:r>
        <w:separator/>
      </w:r>
    </w:p>
  </w:endnote>
  <w:endnote w:type="continuationSeparator" w:id="0">
    <w:p w:rsidR="003B7D1D" w:rsidRDefault="003B7D1D" w:rsidP="0057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D1D" w:rsidRDefault="003B7D1D" w:rsidP="0057506D">
      <w:pPr>
        <w:spacing w:after="0" w:line="240" w:lineRule="auto"/>
      </w:pPr>
      <w:r>
        <w:separator/>
      </w:r>
    </w:p>
  </w:footnote>
  <w:footnote w:type="continuationSeparator" w:id="0">
    <w:p w:rsidR="003B7D1D" w:rsidRDefault="003B7D1D" w:rsidP="00575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75"/>
    <w:rsid w:val="000C5B82"/>
    <w:rsid w:val="002865A4"/>
    <w:rsid w:val="002F1B65"/>
    <w:rsid w:val="00313B31"/>
    <w:rsid w:val="003B7D1D"/>
    <w:rsid w:val="00451038"/>
    <w:rsid w:val="00492B58"/>
    <w:rsid w:val="004B7A09"/>
    <w:rsid w:val="0057506D"/>
    <w:rsid w:val="005D0B75"/>
    <w:rsid w:val="005D1AB7"/>
    <w:rsid w:val="00785972"/>
    <w:rsid w:val="00835040"/>
    <w:rsid w:val="009634B6"/>
    <w:rsid w:val="00A9784A"/>
    <w:rsid w:val="00B120D7"/>
    <w:rsid w:val="00C029B0"/>
    <w:rsid w:val="00EA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921E"/>
  <w15:docId w15:val="{6879154D-C52A-42ED-85A5-053AD2B2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4B6"/>
    <w:pPr>
      <w:spacing w:after="160" w:line="259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57506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506D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7506D"/>
    <w:rPr>
      <w:vertAlign w:val="superscript"/>
    </w:rPr>
  </w:style>
  <w:style w:type="table" w:styleId="Tablaconcuadrcula">
    <w:name w:val="Table Grid"/>
    <w:basedOn w:val="Tablanormal"/>
    <w:uiPriority w:val="59"/>
    <w:rsid w:val="005750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anormal"/>
    <w:uiPriority w:val="43"/>
    <w:rsid w:val="00785972"/>
    <w:pPr>
      <w:spacing w:after="0" w:line="240" w:lineRule="auto"/>
    </w:pPr>
    <w:rPr>
      <w:lang w:val="es-MX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6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4B6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91637959317584"/>
          <c:y val="8.8292599788662787E-2"/>
          <c:w val="0.80765200646215518"/>
          <c:h val="0.574175500789674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Contribuyentes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Hoja1!$A$2:$A$5</c:f>
              <c:strCache>
                <c:ptCount val="4"/>
                <c:pt idx="0">
                  <c:v>$0.06-0.40</c:v>
                </c:pt>
                <c:pt idx="1">
                  <c:v>$0.41-0.80</c:v>
                </c:pt>
                <c:pt idx="2">
                  <c:v>$0.80-1.12</c:v>
                </c:pt>
                <c:pt idx="3">
                  <c:v>$1.13-1.20</c:v>
                </c:pt>
              </c:strCache>
            </c:strRef>
          </c:cat>
          <c:val>
            <c:numRef>
              <c:f>Hoja1!$B$2:$B$5</c:f>
              <c:numCache>
                <c:formatCode>0%</c:formatCode>
                <c:ptCount val="4"/>
                <c:pt idx="0">
                  <c:v>0.37</c:v>
                </c:pt>
                <c:pt idx="1">
                  <c:v>0.36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72-4E05-858D-452E3EAA916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52"/>
        <c:overlap val="1"/>
        <c:axId val="91458176"/>
        <c:axId val="111912832"/>
      </c:barChart>
      <c:catAx>
        <c:axId val="91458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s-MX" sz="105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Contribuyentes agrupados en cuatro según sus pagos mensuales (pesos)</a:t>
                </a:r>
                <a:endParaRPr lang="fr-FR" sz="500" b="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12329150262467192"/>
              <c:y val="0.82850667363262043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MX"/>
          </a:p>
        </c:txPr>
        <c:crossAx val="111912832"/>
        <c:crosses val="autoZero"/>
        <c:auto val="1"/>
        <c:lblAlgn val="ctr"/>
        <c:lblOffset val="100"/>
        <c:noMultiLvlLbl val="0"/>
      </c:catAx>
      <c:valAx>
        <c:axId val="1119128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fr-FR" sz="1100" b="0">
                    <a:latin typeface="Times New Roman" pitchFamily="18" charset="0"/>
                    <a:cs typeface="Times New Roman" pitchFamily="18" charset="0"/>
                  </a:rPr>
                  <a:t>Frecuencia de pago (%)</a:t>
                </a:r>
              </a:p>
            </c:rich>
          </c:tx>
          <c:layout>
            <c:manualLayout>
              <c:xMode val="edge"/>
              <c:yMode val="edge"/>
              <c:x val="1.7732734580052492E-2"/>
              <c:y val="2.8384271871229362E-2"/>
            </c:manualLayout>
          </c:layout>
          <c:overlay val="0"/>
          <c:spPr>
            <a:noFill/>
          </c:spPr>
        </c:title>
        <c:numFmt formatCode="0%" sourceLinked="0"/>
        <c:majorTickMark val="none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MX"/>
          </a:p>
        </c:txPr>
        <c:crossAx val="91458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6C2A-2FA4-4766-9B34-36D533FC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lap-bdcv</cp:lastModifiedBy>
  <cp:revision>9</cp:revision>
  <dcterms:created xsi:type="dcterms:W3CDTF">2019-01-12T07:24:00Z</dcterms:created>
  <dcterms:modified xsi:type="dcterms:W3CDTF">2019-01-15T23:11:00Z</dcterms:modified>
</cp:coreProperties>
</file>